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16" w:rsidRPr="00F975D7" w:rsidRDefault="00561250" w:rsidP="005F6C16">
      <w:pPr>
        <w:spacing w:after="0" w:line="360" w:lineRule="auto"/>
        <w:rPr>
          <w:rFonts w:ascii="Calibri Light" w:hAnsi="Calibri Light"/>
          <w:sz w:val="20"/>
          <w:szCs w:val="20"/>
        </w:rPr>
      </w:pPr>
      <w:r w:rsidRPr="00F975D7">
        <w:rPr>
          <w:rStyle w:val="None"/>
          <w:rFonts w:ascii="Palatino Linotype" w:hAnsi="Palatino Linotype"/>
          <w:b/>
          <w:bCs/>
          <w:sz w:val="16"/>
          <w:szCs w:val="16"/>
          <w:lang w:val="en-GB"/>
        </w:rPr>
        <w:t>Table S1</w:t>
      </w:r>
      <w:r w:rsidR="005F6C16" w:rsidRPr="00F975D7">
        <w:rPr>
          <w:rStyle w:val="Hyperlink0"/>
          <w:rFonts w:ascii="Palatino Linotype" w:hAnsi="Palatino Linotype"/>
          <w:b/>
          <w:sz w:val="16"/>
          <w:szCs w:val="16"/>
          <w:lang w:val="en-GB"/>
        </w:rPr>
        <w:t>.</w:t>
      </w:r>
      <w:r w:rsidR="005F6C16" w:rsidRPr="00F975D7">
        <w:rPr>
          <w:rStyle w:val="Hyperlink0"/>
          <w:rFonts w:ascii="Palatino Linotype" w:hAnsi="Palatino Linotype"/>
          <w:sz w:val="16"/>
          <w:szCs w:val="16"/>
          <w:lang w:val="en-GB"/>
        </w:rPr>
        <w:t xml:space="preserve"> </w:t>
      </w:r>
      <w:proofErr w:type="gramStart"/>
      <w:r w:rsidR="005F6C16" w:rsidRPr="00F975D7">
        <w:rPr>
          <w:rStyle w:val="Hyperlink0"/>
          <w:rFonts w:ascii="Palatino Linotype" w:hAnsi="Palatino Linotype"/>
          <w:sz w:val="16"/>
          <w:szCs w:val="16"/>
          <w:lang w:val="en-GB"/>
        </w:rPr>
        <w:t>Land-use composition (%) within individual habitat categories and urbanization gradient of the study area</w:t>
      </w:r>
      <w:r w:rsidR="00F975D7">
        <w:rPr>
          <w:rFonts w:ascii="Calibri Light" w:hAnsi="Calibri Light"/>
          <w:sz w:val="20"/>
          <w:szCs w:val="20"/>
        </w:rPr>
        <w:t>.</w:t>
      </w:r>
      <w:proofErr w:type="gramEnd"/>
      <w:r w:rsidR="005F6C16" w:rsidRPr="00F975D7">
        <w:rPr>
          <w:rFonts w:ascii="Calibri Light" w:hAnsi="Calibri Light"/>
          <w:sz w:val="20"/>
          <w:szCs w:val="20"/>
        </w:rPr>
        <w:t xml:space="preserve"> </w:t>
      </w:r>
    </w:p>
    <w:tbl>
      <w:tblPr>
        <w:tblStyle w:val="TableNormal"/>
        <w:tblW w:w="13892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43"/>
        <w:gridCol w:w="1442"/>
        <w:gridCol w:w="1853"/>
        <w:gridCol w:w="1378"/>
        <w:gridCol w:w="1378"/>
        <w:gridCol w:w="1378"/>
        <w:gridCol w:w="1442"/>
        <w:gridCol w:w="1378"/>
      </w:tblGrid>
      <w:tr w:rsidR="005F6C16" w:rsidRPr="009F265E" w:rsidTr="00F975D7">
        <w:trPr>
          <w:trHeight w:val="150"/>
        </w:trPr>
        <w:tc>
          <w:tcPr>
            <w:tcW w:w="36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9F265E" w:rsidRDefault="005F6C16" w:rsidP="0078358C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9F265E" w:rsidRDefault="005F6C16" w:rsidP="0078358C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9F265E">
              <w:rPr>
                <w:rStyle w:val="None"/>
                <w:rFonts w:ascii="Calibri Light" w:hAnsi="Calibri Light"/>
                <w:lang w:val="en-GB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9F265E" w:rsidRDefault="005F6C16" w:rsidP="0078358C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9F265E">
              <w:rPr>
                <w:rStyle w:val="None"/>
                <w:rFonts w:ascii="Calibri Light" w:hAnsi="Calibri Light"/>
                <w:lang w:val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9F265E" w:rsidRDefault="005F6C16" w:rsidP="0078358C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9F265E">
              <w:rPr>
                <w:rStyle w:val="None"/>
                <w:rFonts w:ascii="Calibri Light" w:hAnsi="Calibri Light"/>
                <w:lang w:val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9F265E" w:rsidRDefault="005F6C16" w:rsidP="0078358C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9F265E">
              <w:rPr>
                <w:rStyle w:val="None"/>
                <w:rFonts w:ascii="Calibri Light" w:hAnsi="Calibri Light"/>
                <w:lang w:val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9F265E" w:rsidRDefault="005F6C16" w:rsidP="0078358C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9F265E">
              <w:rPr>
                <w:rStyle w:val="None"/>
                <w:rFonts w:ascii="Calibri Light" w:hAnsi="Calibri Light"/>
                <w:lang w:val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9F265E" w:rsidRDefault="005F6C16" w:rsidP="0078358C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9F265E">
              <w:rPr>
                <w:rStyle w:val="None"/>
                <w:rFonts w:ascii="Calibri Light" w:hAnsi="Calibri Light"/>
                <w:lang w:val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9F265E" w:rsidRDefault="005F6C16" w:rsidP="0078358C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  <w:r w:rsidRPr="009F265E">
              <w:rPr>
                <w:rStyle w:val="None"/>
                <w:rFonts w:ascii="Calibri Light" w:hAnsi="Calibri Light"/>
                <w:lang w:val="en-GB"/>
              </w:rPr>
              <w:t> </w:t>
            </w:r>
          </w:p>
        </w:tc>
      </w:tr>
      <w:tr w:rsidR="005F6C16" w:rsidRPr="009F265E" w:rsidTr="00F975D7">
        <w:trPr>
          <w:trHeight w:val="26"/>
        </w:trPr>
        <w:tc>
          <w:tcPr>
            <w:tcW w:w="3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bCs/>
                <w:sz w:val="18"/>
                <w:szCs w:val="18"/>
                <w:lang w:val="en-GB"/>
              </w:rPr>
              <w:t>Habitat category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bCs/>
                <w:sz w:val="18"/>
                <w:szCs w:val="18"/>
                <w:lang w:val="en-GB"/>
              </w:rPr>
              <w:t>Arable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bCs/>
                <w:sz w:val="18"/>
                <w:szCs w:val="18"/>
                <w:lang w:val="en-GB"/>
              </w:rPr>
              <w:t>Artificial surfaces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bCs/>
                <w:sz w:val="18"/>
                <w:szCs w:val="18"/>
                <w:lang w:val="en-GB"/>
              </w:rPr>
              <w:t>Buildings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bCs/>
                <w:sz w:val="18"/>
                <w:szCs w:val="18"/>
                <w:lang w:val="en-GB"/>
              </w:rPr>
              <w:t>City green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bCs/>
                <w:sz w:val="18"/>
                <w:szCs w:val="18"/>
                <w:lang w:val="en-GB"/>
              </w:rPr>
              <w:t>Forests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bCs/>
                <w:sz w:val="18"/>
                <w:szCs w:val="18"/>
                <w:lang w:val="en-GB"/>
              </w:rPr>
              <w:t>Grasslands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bCs/>
                <w:sz w:val="18"/>
                <w:szCs w:val="18"/>
                <w:lang w:val="en-GB"/>
              </w:rPr>
              <w:t>Water</w:t>
            </w:r>
          </w:p>
        </w:tc>
      </w:tr>
      <w:tr w:rsidR="005F6C16" w:rsidRPr="009F265E" w:rsidTr="00F975D7">
        <w:trPr>
          <w:trHeight w:val="170"/>
        </w:trPr>
        <w:tc>
          <w:tcPr>
            <w:tcW w:w="3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Urban centre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0.0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36.5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32.7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30.5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0.3</w:t>
            </w:r>
          </w:p>
        </w:tc>
      </w:tr>
      <w:tr w:rsidR="005F6C16" w:rsidRPr="009F265E" w:rsidTr="00F975D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New residential areas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15.2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28.3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11.8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32.0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11.9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0.1</w:t>
            </w:r>
          </w:p>
        </w:tc>
      </w:tr>
      <w:tr w:rsidR="005F6C16" w:rsidRPr="009F265E" w:rsidTr="00F975D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Residential areas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1.1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21.8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16.7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53.0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6.1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0.3</w:t>
            </w:r>
          </w:p>
        </w:tc>
      </w:tr>
      <w:tr w:rsidR="005F6C16" w:rsidRPr="009F265E" w:rsidTr="00F975D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Panel housing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30.9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19.7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46.8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1.2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0.0</w:t>
            </w:r>
          </w:p>
        </w:tc>
      </w:tr>
      <w:tr w:rsidR="005F6C16" w:rsidRPr="009F265E" w:rsidTr="00F975D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Parks and cemeteries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29.9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8.1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46.0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1.6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9.2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4.5</w:t>
            </w:r>
          </w:p>
        </w:tc>
      </w:tr>
      <w:tr w:rsidR="005F6C16" w:rsidRPr="009F265E" w:rsidTr="00F975D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Industrial and commercial places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2.1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59.3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27.8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3.5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1.4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5.7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0.3</w:t>
            </w:r>
          </w:p>
        </w:tc>
      </w:tr>
      <w:tr w:rsidR="005F6C16" w:rsidRPr="009F265E" w:rsidTr="00F975D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Garden colonies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1.9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13.6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5.9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73.8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4.0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0.5</w:t>
            </w:r>
          </w:p>
        </w:tc>
      </w:tr>
      <w:tr w:rsidR="005F6C16" w:rsidRPr="009F265E" w:rsidTr="00F975D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Farmland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60.1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1.9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9.5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21.9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4.8</w:t>
            </w:r>
          </w:p>
        </w:tc>
      </w:tr>
      <w:tr w:rsidR="005F6C16" w:rsidRPr="009F265E" w:rsidTr="00F975D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Not mapped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8.7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23.5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3.1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5.1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2.8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23.5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33.3</w:t>
            </w:r>
          </w:p>
        </w:tc>
      </w:tr>
      <w:tr w:rsidR="005F6C16" w:rsidRPr="009F265E" w:rsidTr="00F975D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bCs/>
                <w:sz w:val="18"/>
                <w:szCs w:val="18"/>
                <w:lang w:val="en-GB"/>
              </w:rPr>
              <w:t>Urbanization gradient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</w:tr>
      <w:tr w:rsidR="005F6C16" w:rsidRPr="009F265E" w:rsidTr="00F975D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Core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40.3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23.0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30.5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3.5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1.9</w:t>
            </w:r>
          </w:p>
        </w:tc>
      </w:tr>
      <w:tr w:rsidR="005F6C16" w:rsidRPr="009F265E" w:rsidTr="00F975D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Edge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33.1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16.3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7.4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13.8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4.6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21.5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3.2</w:t>
            </w:r>
          </w:p>
        </w:tc>
      </w:tr>
      <w:tr w:rsidR="005F6C16" w:rsidRPr="009F265E" w:rsidTr="00F975D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Rural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63.0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1.0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1.4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10.7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17.6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5.3</w:t>
            </w:r>
          </w:p>
        </w:tc>
      </w:tr>
      <w:tr w:rsidR="005F6C16" w:rsidRPr="009F265E" w:rsidTr="00F975D7">
        <w:tc>
          <w:tcPr>
            <w:tcW w:w="3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bCs/>
                <w:sz w:val="18"/>
                <w:szCs w:val="18"/>
                <w:lang w:val="en-GB"/>
              </w:rPr>
              <w:t>Total area in ha (%)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3503.3</w:t>
            </w:r>
            <w:r w:rsid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 xml:space="preserve"> </w:t>
            </w: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(41.1)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1135.8</w:t>
            </w:r>
            <w:r w:rsid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 xml:space="preserve"> </w:t>
            </w: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(13.3)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605.1</w:t>
            </w:r>
            <w:r w:rsid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 xml:space="preserve"> </w:t>
            </w: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(7.1)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939.6</w:t>
            </w:r>
            <w:r w:rsid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 xml:space="preserve"> </w:t>
            </w: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(11.0)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572.4</w:t>
            </w:r>
            <w:r w:rsid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 xml:space="preserve"> </w:t>
            </w: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(6.7)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1431.6</w:t>
            </w:r>
            <w:r w:rsid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 xml:space="preserve"> </w:t>
            </w: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(16.8)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337.6</w:t>
            </w:r>
            <w:r w:rsid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 xml:space="preserve"> </w:t>
            </w: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(4.0)</w:t>
            </w:r>
          </w:p>
        </w:tc>
      </w:tr>
    </w:tbl>
    <w:p w:rsidR="005F6C16" w:rsidRPr="009F265E" w:rsidRDefault="005F6C16" w:rsidP="005F6C16">
      <w:pPr>
        <w:rPr>
          <w:rFonts w:ascii="Calibri Light" w:hAnsi="Calibri Light"/>
          <w:lang w:val="en-GB"/>
        </w:rPr>
        <w:sectPr w:rsidR="005F6C16" w:rsidRPr="009F265E" w:rsidSect="00AE2638">
          <w:headerReference w:type="default" r:id="rId7"/>
          <w:pgSz w:w="16840" w:h="11900" w:orient="landscape"/>
          <w:pgMar w:top="1418" w:right="1418" w:bottom="1418" w:left="1418" w:header="709" w:footer="709" w:gutter="0"/>
          <w:cols w:space="708"/>
        </w:sectPr>
      </w:pPr>
    </w:p>
    <w:p w:rsidR="005F6C16" w:rsidRPr="00F975D7" w:rsidRDefault="00561250" w:rsidP="005F6C16">
      <w:pPr>
        <w:rPr>
          <w:rStyle w:val="None"/>
          <w:rFonts w:ascii="Palatino Linotype" w:eastAsia="Calibri Light" w:hAnsi="Palatino Linotype" w:cs="Calibri Light"/>
          <w:color w:val="000000" w:themeColor="text1"/>
          <w:sz w:val="16"/>
          <w:szCs w:val="16"/>
          <w:lang w:val="en-GB"/>
        </w:rPr>
      </w:pPr>
      <w:r w:rsidRPr="00F975D7">
        <w:rPr>
          <w:rStyle w:val="None"/>
          <w:rFonts w:ascii="Palatino Linotype" w:hAnsi="Palatino Linotype"/>
          <w:b/>
          <w:bCs/>
          <w:color w:val="000000" w:themeColor="text1"/>
          <w:sz w:val="16"/>
          <w:szCs w:val="16"/>
          <w:lang w:val="en-GB"/>
        </w:rPr>
        <w:lastRenderedPageBreak/>
        <w:t>Table S</w:t>
      </w:r>
      <w:r w:rsidR="005F6C16" w:rsidRPr="00F975D7">
        <w:rPr>
          <w:rStyle w:val="None"/>
          <w:rFonts w:ascii="Palatino Linotype" w:hAnsi="Palatino Linotype"/>
          <w:b/>
          <w:bCs/>
          <w:color w:val="000000" w:themeColor="text1"/>
          <w:sz w:val="16"/>
          <w:szCs w:val="16"/>
          <w:lang w:val="en-GB"/>
        </w:rPr>
        <w:t>2.</w:t>
      </w:r>
      <w:r w:rsidR="005F6C16" w:rsidRPr="00F975D7">
        <w:rPr>
          <w:rStyle w:val="Hyperlink0"/>
          <w:rFonts w:ascii="Palatino Linotype" w:eastAsia="Arial Unicode MS" w:hAnsi="Palatino Linotype" w:cs="Arial Unicode MS"/>
          <w:color w:val="000000" w:themeColor="text1"/>
          <w:sz w:val="16"/>
          <w:szCs w:val="16"/>
          <w:lang w:val="en-GB"/>
        </w:rPr>
        <w:t xml:space="preserve"> Location of Eurasian magpie nests within the study area. </w:t>
      </w:r>
    </w:p>
    <w:tbl>
      <w:tblPr>
        <w:tblStyle w:val="TableNormal"/>
        <w:tblW w:w="482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76"/>
        <w:gridCol w:w="1129"/>
        <w:gridCol w:w="1415"/>
      </w:tblGrid>
      <w:tr w:rsidR="005F6C16" w:rsidRPr="009F265E" w:rsidTr="00F975D7"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bCs/>
                <w:sz w:val="18"/>
                <w:szCs w:val="18"/>
                <w:lang w:val="en-GB"/>
              </w:rPr>
              <w:t>Location of nest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bCs/>
                <w:sz w:val="18"/>
                <w:szCs w:val="18"/>
                <w:lang w:val="en-GB"/>
              </w:rPr>
              <w:t>No. of nests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bCs/>
                <w:sz w:val="18"/>
                <w:szCs w:val="18"/>
                <w:lang w:val="en-GB"/>
              </w:rPr>
              <w:t>Percentage (%)</w:t>
            </w:r>
          </w:p>
        </w:tc>
      </w:tr>
      <w:tr w:rsidR="005F6C16" w:rsidRPr="009F265E" w:rsidTr="00F975D7">
        <w:tc>
          <w:tcPr>
            <w:tcW w:w="27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Quercus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robur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82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24.5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Betula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pendula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54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16.1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Prunus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spinosa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7.5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Salix </w:t>
            </w: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 xml:space="preserve">sp.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6.0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Alnus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glutinosa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5.4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Pinus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sylvestris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5.4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Robinia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pseudoacacia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5.1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Tilia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cordata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4.2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Populus</w:t>
            </w:r>
            <w:proofErr w:type="spellEnd"/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 xml:space="preserve"> sp.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2.7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Prunus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domestica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2.4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Acer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platanoides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2.4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Juglans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regia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1.8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Picea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abies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1.8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Malus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domestica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1.8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Populus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x</w:t>
            </w:r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canadensis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1.5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Corylus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avellana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1.2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Fraxinus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excelsior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1.2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Picea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pungens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1.2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Acer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pseudoplatanus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0.9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Pinus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strobus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0.9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Sambucus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nigra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0.9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Abies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alba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0.6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Aesculus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hippocastanum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0.6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Populus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tremula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0.6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Prunus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avium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0.3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Pseudotsuga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menziesii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0.3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Pyrus</w:t>
            </w:r>
            <w:proofErr w:type="spellEnd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communis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0.3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 xml:space="preserve">Rosa </w:t>
            </w:r>
            <w:proofErr w:type="spellStart"/>
            <w:r w:rsidRPr="00F975D7">
              <w:rPr>
                <w:rStyle w:val="None"/>
                <w:rFonts w:ascii="Palatino Linotype" w:hAnsi="Palatino Linotype"/>
                <w:i/>
                <w:iCs/>
                <w:sz w:val="18"/>
                <w:szCs w:val="18"/>
                <w:lang w:val="en-GB"/>
              </w:rPr>
              <w:t>canina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0.3</w:t>
            </w:r>
          </w:p>
        </w:tc>
      </w:tr>
      <w:tr w:rsidR="005F6C16" w:rsidRPr="009F265E" w:rsidTr="00F975D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Electricity pylon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0.9</w:t>
            </w:r>
          </w:p>
        </w:tc>
      </w:tr>
      <w:tr w:rsidR="005F6C16" w:rsidRPr="009F265E" w:rsidTr="00F975D7">
        <w:trPr>
          <w:trHeight w:val="200"/>
        </w:trPr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Unknown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sz w:val="18"/>
                <w:szCs w:val="18"/>
                <w:lang w:val="en-GB"/>
              </w:rPr>
              <w:t>1.5</w:t>
            </w:r>
          </w:p>
        </w:tc>
      </w:tr>
      <w:tr w:rsidR="005F6C16" w:rsidRPr="009F265E" w:rsidTr="00F975D7"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bCs/>
                <w:sz w:val="18"/>
                <w:szCs w:val="18"/>
                <w:lang w:val="en-GB"/>
              </w:rPr>
              <w:t>335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F6C16" w:rsidRPr="00F975D7" w:rsidRDefault="005F6C16" w:rsidP="00F975D7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F975D7">
              <w:rPr>
                <w:rStyle w:val="None"/>
                <w:rFonts w:ascii="Palatino Linotype" w:hAnsi="Palatino Linotype"/>
                <w:bCs/>
                <w:sz w:val="18"/>
                <w:szCs w:val="18"/>
                <w:lang w:val="en-GB"/>
              </w:rPr>
              <w:t>100</w:t>
            </w:r>
          </w:p>
        </w:tc>
        <w:bookmarkStart w:id="0" w:name="_GoBack"/>
        <w:bookmarkEnd w:id="0"/>
      </w:tr>
    </w:tbl>
    <w:p w:rsidR="00560BBE" w:rsidRDefault="00560BBE"/>
    <w:p w:rsidR="00560BBE" w:rsidRPr="00F975D7" w:rsidRDefault="00560BBE" w:rsidP="00F975D7">
      <w:pPr>
        <w:spacing w:after="0" w:line="240" w:lineRule="auto"/>
        <w:jc w:val="both"/>
        <w:rPr>
          <w:rStyle w:val="None"/>
          <w:rFonts w:ascii="Palatino Linotype" w:hAnsi="Palatino Linotype"/>
          <w:sz w:val="16"/>
          <w:szCs w:val="16"/>
          <w:lang w:val="en-GB"/>
        </w:rPr>
      </w:pPr>
      <w:proofErr w:type="gramStart"/>
      <w:r w:rsidRPr="00F975D7">
        <w:rPr>
          <w:rStyle w:val="None"/>
          <w:rFonts w:ascii="Palatino Linotype" w:hAnsi="Palatino Linotype"/>
          <w:b/>
          <w:bCs/>
          <w:sz w:val="16"/>
          <w:szCs w:val="16"/>
          <w:lang w:val="en-GB"/>
        </w:rPr>
        <w:lastRenderedPageBreak/>
        <w:t>Fig</w:t>
      </w:r>
      <w:r w:rsidR="00561250" w:rsidRPr="00F975D7">
        <w:rPr>
          <w:rStyle w:val="None"/>
          <w:rFonts w:ascii="Palatino Linotype" w:hAnsi="Palatino Linotype"/>
          <w:b/>
          <w:bCs/>
          <w:sz w:val="16"/>
          <w:szCs w:val="16"/>
          <w:lang w:val="en-GB"/>
        </w:rPr>
        <w:t>.</w:t>
      </w:r>
      <w:proofErr w:type="gramEnd"/>
      <w:r w:rsidRPr="00F975D7">
        <w:rPr>
          <w:rStyle w:val="None"/>
          <w:rFonts w:ascii="Palatino Linotype" w:hAnsi="Palatino Linotype"/>
          <w:b/>
          <w:bCs/>
          <w:sz w:val="16"/>
          <w:szCs w:val="16"/>
          <w:lang w:val="en-GB"/>
        </w:rPr>
        <w:t xml:space="preserve"> </w:t>
      </w:r>
      <w:r w:rsidR="00561250" w:rsidRPr="00F975D7">
        <w:rPr>
          <w:rStyle w:val="None"/>
          <w:rFonts w:ascii="Palatino Linotype" w:hAnsi="Palatino Linotype"/>
          <w:b/>
          <w:bCs/>
          <w:sz w:val="16"/>
          <w:szCs w:val="16"/>
          <w:lang w:val="en-GB"/>
        </w:rPr>
        <w:t>S1.</w:t>
      </w:r>
      <w:r w:rsidRPr="00F975D7">
        <w:rPr>
          <w:rStyle w:val="Hyperlink0"/>
          <w:rFonts w:ascii="Palatino Linotype" w:hAnsi="Palatino Linotype"/>
          <w:sz w:val="16"/>
          <w:szCs w:val="16"/>
          <w:lang w:val="en-GB"/>
        </w:rPr>
        <w:t xml:space="preserve"> Overall Eurasian magpie habitat preferences (a) and preferences divided for three main categories along the urban-rural gradient (b). Preferences were computed as log</w:t>
      </w:r>
      <w:r w:rsidRPr="00F975D7">
        <w:rPr>
          <w:rStyle w:val="None"/>
          <w:rFonts w:ascii="Palatino Linotype" w:hAnsi="Palatino Linotype"/>
          <w:sz w:val="16"/>
          <w:szCs w:val="16"/>
          <w:vertAlign w:val="subscript"/>
          <w:lang w:val="en-GB"/>
        </w:rPr>
        <w:t>2</w:t>
      </w:r>
      <w:r w:rsidR="00F975D7">
        <w:rPr>
          <w:rStyle w:val="None"/>
          <w:rFonts w:ascii="Palatino Linotype" w:hAnsi="Palatino Linotype"/>
          <w:sz w:val="16"/>
          <w:szCs w:val="16"/>
          <w:lang w:val="en-GB"/>
        </w:rPr>
        <w:t xml:space="preserve"> </w:t>
      </w:r>
      <w:r w:rsidRPr="00F975D7">
        <w:rPr>
          <w:rStyle w:val="Hyperlink0"/>
          <w:rFonts w:ascii="Palatino Linotype" w:hAnsi="Palatino Linotype"/>
          <w:sz w:val="16"/>
          <w:szCs w:val="16"/>
          <w:lang w:val="en-GB"/>
        </w:rPr>
        <w:t xml:space="preserve">(use/available) based on numbers of Eurasian magpie nests (n = 335) and random points (n = 335). Standard errors of means are shown. </w:t>
      </w:r>
    </w:p>
    <w:p w:rsidR="00560BBE" w:rsidRPr="009F265E" w:rsidRDefault="00560BBE" w:rsidP="00560BBE">
      <w:pPr>
        <w:spacing w:after="0" w:line="360" w:lineRule="auto"/>
        <w:rPr>
          <w:rStyle w:val="None"/>
          <w:lang w:val="en-GB"/>
        </w:rPr>
      </w:pPr>
      <w:r w:rsidRPr="009F265E">
        <w:rPr>
          <w:rStyle w:val="Hyperlink0"/>
          <w:lang w:val="en-GB"/>
        </w:rPr>
        <w:t xml:space="preserve"> </w:t>
      </w:r>
      <w:r w:rsidR="00FD224B">
        <w:rPr>
          <w:rFonts w:eastAsia="Helvetica" w:cs="Helvetica"/>
          <w:b/>
          <w:bCs/>
          <w:noProof/>
        </w:rPr>
        <w:drawing>
          <wp:inline distT="0" distB="0" distL="0" distR="0">
            <wp:extent cx="5752465" cy="6911340"/>
            <wp:effectExtent l="0" t="0" r="635" b="3810"/>
            <wp:docPr id="1" name="Obrázek 1" descr="C:\Users\salek\Desktop\journal of vertebrate biology\resubmitace R2\log2 - panel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k\Desktop\journal of vertebrate biology\resubmitace R2\log2 - panel (2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BE" w:rsidRPr="009F265E" w:rsidRDefault="00560BBE" w:rsidP="00560BBE">
      <w:pPr>
        <w:spacing w:after="0" w:line="360" w:lineRule="auto"/>
        <w:rPr>
          <w:rFonts w:ascii="Calibri Light" w:hAnsi="Calibri Light"/>
          <w:lang w:val="en-GB"/>
        </w:rPr>
      </w:pPr>
      <w:r w:rsidRPr="009F265E">
        <w:rPr>
          <w:rStyle w:val="Hyperlink0"/>
          <w:rFonts w:eastAsia="Arial Unicode MS" w:cs="Arial Unicode MS"/>
          <w:lang w:val="en-GB"/>
        </w:rPr>
        <w:br w:type="page"/>
      </w:r>
    </w:p>
    <w:p w:rsidR="00560BBE" w:rsidRPr="00F975D7" w:rsidRDefault="00560BBE" w:rsidP="00F975D7">
      <w:pPr>
        <w:spacing w:after="0" w:line="240" w:lineRule="auto"/>
        <w:jc w:val="both"/>
        <w:rPr>
          <w:rStyle w:val="None"/>
          <w:rFonts w:ascii="Palatino Linotype" w:hAnsi="Palatino Linotype"/>
          <w:sz w:val="16"/>
          <w:szCs w:val="16"/>
          <w:lang w:val="en-GB"/>
        </w:rPr>
      </w:pPr>
      <w:proofErr w:type="gramStart"/>
      <w:r w:rsidRPr="00F975D7">
        <w:rPr>
          <w:rStyle w:val="None"/>
          <w:rFonts w:ascii="Palatino Linotype" w:hAnsi="Palatino Linotype"/>
          <w:b/>
          <w:bCs/>
          <w:sz w:val="16"/>
          <w:szCs w:val="16"/>
          <w:lang w:val="en-GB"/>
        </w:rPr>
        <w:lastRenderedPageBreak/>
        <w:t>Fig</w:t>
      </w:r>
      <w:r w:rsidR="00561250" w:rsidRPr="00F975D7">
        <w:rPr>
          <w:rStyle w:val="None"/>
          <w:rFonts w:ascii="Palatino Linotype" w:hAnsi="Palatino Linotype"/>
          <w:b/>
          <w:bCs/>
          <w:sz w:val="16"/>
          <w:szCs w:val="16"/>
          <w:lang w:val="en-GB"/>
        </w:rPr>
        <w:t>.</w:t>
      </w:r>
      <w:proofErr w:type="gramEnd"/>
      <w:r w:rsidRPr="00F975D7">
        <w:rPr>
          <w:rStyle w:val="None"/>
          <w:rFonts w:ascii="Palatino Linotype" w:hAnsi="Palatino Linotype"/>
          <w:b/>
          <w:bCs/>
          <w:sz w:val="16"/>
          <w:szCs w:val="16"/>
          <w:lang w:val="en-GB"/>
        </w:rPr>
        <w:t xml:space="preserve"> </w:t>
      </w:r>
      <w:r w:rsidR="00561250" w:rsidRPr="00F975D7">
        <w:rPr>
          <w:rStyle w:val="None"/>
          <w:rFonts w:ascii="Palatino Linotype" w:hAnsi="Palatino Linotype"/>
          <w:b/>
          <w:bCs/>
          <w:sz w:val="16"/>
          <w:szCs w:val="16"/>
          <w:lang w:val="en-GB"/>
        </w:rPr>
        <w:t>S2.</w:t>
      </w:r>
      <w:r w:rsidRPr="00F975D7">
        <w:rPr>
          <w:rStyle w:val="Hyperlink0"/>
          <w:rFonts w:ascii="Palatino Linotype" w:hAnsi="Palatino Linotype"/>
          <w:sz w:val="16"/>
          <w:szCs w:val="16"/>
          <w:lang w:val="en-GB"/>
        </w:rPr>
        <w:t xml:space="preserve"> </w:t>
      </w:r>
      <w:proofErr w:type="gramStart"/>
      <w:r w:rsidRPr="00F975D7">
        <w:rPr>
          <w:rStyle w:val="Hyperlink0"/>
          <w:rFonts w:ascii="Palatino Linotype" w:hAnsi="Palatino Linotype"/>
          <w:sz w:val="16"/>
          <w:szCs w:val="16"/>
          <w:lang w:val="en-GB"/>
        </w:rPr>
        <w:t>Eurasian magpie nest height in relation to different urban and non-urban habitats.</w:t>
      </w:r>
      <w:proofErr w:type="gramEnd"/>
      <w:r w:rsidRPr="00F975D7">
        <w:rPr>
          <w:rStyle w:val="Hyperlink0"/>
          <w:rFonts w:ascii="Palatino Linotype" w:hAnsi="Palatino Linotype"/>
          <w:sz w:val="16"/>
          <w:szCs w:val="16"/>
          <w:lang w:val="en-GB"/>
        </w:rPr>
        <w:t xml:space="preserve"> Squares – medians, boxes – 25-75% of data, whiskers – non-outlier ranges.</w:t>
      </w:r>
    </w:p>
    <w:p w:rsidR="00560BBE" w:rsidRPr="009F265E" w:rsidRDefault="00560BBE" w:rsidP="00560BBE">
      <w:pPr>
        <w:spacing w:after="0" w:line="360" w:lineRule="auto"/>
        <w:rPr>
          <w:rStyle w:val="None"/>
          <w:lang w:val="en-GB"/>
        </w:rPr>
      </w:pPr>
    </w:p>
    <w:p w:rsidR="00560BBE" w:rsidRPr="009F265E" w:rsidRDefault="00560BBE" w:rsidP="00560BBE">
      <w:pPr>
        <w:spacing w:after="0" w:line="360" w:lineRule="auto"/>
        <w:rPr>
          <w:rStyle w:val="None"/>
          <w:lang w:val="en-GB"/>
        </w:rPr>
      </w:pPr>
      <w:r w:rsidRPr="009F265E">
        <w:rPr>
          <w:rStyle w:val="None"/>
          <w:noProof/>
        </w:rPr>
        <w:drawing>
          <wp:inline distT="0" distB="0" distL="0" distR="0" wp14:anchorId="718A63EB" wp14:editId="652828BA">
            <wp:extent cx="5624411" cy="4219575"/>
            <wp:effectExtent l="0" t="0" r="0" b="0"/>
            <wp:docPr id="1073741830" name="officeArt object" descr="nest height vs mestkat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nest height vs mestkat.tif" descr="nest height vs mestkat.t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411" cy="4219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60BBE" w:rsidRPr="009F265E" w:rsidRDefault="00560BBE" w:rsidP="00560BBE">
      <w:pPr>
        <w:spacing w:after="0" w:line="360" w:lineRule="auto"/>
        <w:rPr>
          <w:rStyle w:val="None"/>
          <w:lang w:val="en-GB"/>
        </w:rPr>
      </w:pPr>
      <w:r w:rsidRPr="009F265E">
        <w:rPr>
          <w:rStyle w:val="Hyperlink0"/>
          <w:lang w:val="en-GB"/>
        </w:rPr>
        <w:t> </w:t>
      </w:r>
    </w:p>
    <w:p w:rsidR="00560BBE" w:rsidRPr="009F265E" w:rsidRDefault="00560BBE" w:rsidP="00560BBE">
      <w:pPr>
        <w:spacing w:after="0" w:line="360" w:lineRule="auto"/>
        <w:rPr>
          <w:rFonts w:ascii="Calibri Light" w:hAnsi="Calibri Light"/>
          <w:lang w:val="en-GB"/>
        </w:rPr>
      </w:pPr>
    </w:p>
    <w:p w:rsidR="00560BBE" w:rsidRPr="00F975D7" w:rsidRDefault="00560BBE" w:rsidP="00F975D7">
      <w:pPr>
        <w:spacing w:after="0" w:line="240" w:lineRule="auto"/>
        <w:jc w:val="both"/>
        <w:rPr>
          <w:rStyle w:val="None"/>
          <w:rFonts w:ascii="Palatino Linotype" w:hAnsi="Palatino Linotype"/>
          <w:sz w:val="16"/>
          <w:szCs w:val="16"/>
          <w:lang w:val="en-GB"/>
        </w:rPr>
      </w:pPr>
      <w:r>
        <w:br w:type="page"/>
      </w:r>
      <w:proofErr w:type="gramStart"/>
      <w:r w:rsidRPr="00F975D7">
        <w:rPr>
          <w:rStyle w:val="None"/>
          <w:rFonts w:ascii="Palatino Linotype" w:hAnsi="Palatino Linotype"/>
          <w:b/>
          <w:bCs/>
          <w:sz w:val="16"/>
          <w:szCs w:val="16"/>
          <w:lang w:val="en-GB"/>
        </w:rPr>
        <w:lastRenderedPageBreak/>
        <w:t>Fig</w:t>
      </w:r>
      <w:r w:rsidR="00561250" w:rsidRPr="00F975D7">
        <w:rPr>
          <w:rStyle w:val="None"/>
          <w:rFonts w:ascii="Palatino Linotype" w:hAnsi="Palatino Linotype"/>
          <w:b/>
          <w:bCs/>
          <w:sz w:val="16"/>
          <w:szCs w:val="16"/>
          <w:lang w:val="en-GB"/>
        </w:rPr>
        <w:t>.</w:t>
      </w:r>
      <w:proofErr w:type="gramEnd"/>
      <w:r w:rsidRPr="00F975D7">
        <w:rPr>
          <w:rStyle w:val="None"/>
          <w:rFonts w:ascii="Palatino Linotype" w:hAnsi="Palatino Linotype"/>
          <w:b/>
          <w:bCs/>
          <w:sz w:val="16"/>
          <w:szCs w:val="16"/>
          <w:lang w:val="en-GB"/>
        </w:rPr>
        <w:t xml:space="preserve"> </w:t>
      </w:r>
      <w:r w:rsidR="00561250" w:rsidRPr="00F975D7">
        <w:rPr>
          <w:rStyle w:val="None"/>
          <w:rFonts w:ascii="Palatino Linotype" w:hAnsi="Palatino Linotype"/>
          <w:b/>
          <w:bCs/>
          <w:sz w:val="16"/>
          <w:szCs w:val="16"/>
          <w:lang w:val="en-GB"/>
        </w:rPr>
        <w:t>S3.</w:t>
      </w:r>
      <w:r w:rsidRPr="00F975D7">
        <w:rPr>
          <w:rStyle w:val="Hyperlink0"/>
          <w:rFonts w:ascii="Palatino Linotype" w:hAnsi="Palatino Linotype"/>
          <w:sz w:val="16"/>
          <w:szCs w:val="16"/>
          <w:lang w:val="en-GB"/>
        </w:rPr>
        <w:t xml:space="preserve"> </w:t>
      </w:r>
      <w:proofErr w:type="gramStart"/>
      <w:r w:rsidRPr="00F975D7">
        <w:rPr>
          <w:rStyle w:val="Hyperlink0"/>
          <w:rFonts w:ascii="Palatino Linotype" w:hAnsi="Palatino Linotype"/>
          <w:sz w:val="16"/>
          <w:szCs w:val="16"/>
          <w:lang w:val="en-GB"/>
        </w:rPr>
        <w:t>Eurasian magpie nest height in relation to tree genus.</w:t>
      </w:r>
      <w:proofErr w:type="gramEnd"/>
      <w:r w:rsidRPr="00F975D7">
        <w:rPr>
          <w:rStyle w:val="Hyperlink0"/>
          <w:rFonts w:ascii="Palatino Linotype" w:hAnsi="Palatino Linotype"/>
          <w:sz w:val="16"/>
          <w:szCs w:val="16"/>
          <w:lang w:val="en-GB"/>
        </w:rPr>
        <w:t xml:space="preserve"> Note that three nests were located on electricity pylons. Squares – medians, boxes – 25-75% of data, whiskers – non-outlier ranges.</w:t>
      </w:r>
    </w:p>
    <w:p w:rsidR="00560BBE" w:rsidRPr="009F265E" w:rsidRDefault="00560BBE" w:rsidP="00560BBE">
      <w:pPr>
        <w:spacing w:after="0" w:line="360" w:lineRule="auto"/>
        <w:rPr>
          <w:rStyle w:val="None"/>
          <w:lang w:val="en-GB"/>
        </w:rPr>
      </w:pPr>
    </w:p>
    <w:p w:rsidR="00560BBE" w:rsidRPr="009F265E" w:rsidRDefault="00560BBE" w:rsidP="00560BBE">
      <w:pPr>
        <w:spacing w:after="0" w:line="360" w:lineRule="auto"/>
        <w:rPr>
          <w:rStyle w:val="None"/>
          <w:lang w:val="en-GB"/>
        </w:rPr>
      </w:pPr>
    </w:p>
    <w:p w:rsidR="00560BBE" w:rsidRPr="009F265E" w:rsidRDefault="00560BBE" w:rsidP="00560BBE">
      <w:pPr>
        <w:spacing w:after="0" w:line="360" w:lineRule="auto"/>
        <w:rPr>
          <w:rStyle w:val="None"/>
          <w:lang w:val="en-GB"/>
        </w:rPr>
      </w:pPr>
      <w:r w:rsidRPr="009F265E">
        <w:rPr>
          <w:rStyle w:val="None"/>
          <w:noProof/>
        </w:rPr>
        <w:drawing>
          <wp:inline distT="0" distB="0" distL="0" distR="0" wp14:anchorId="1CAD089F" wp14:editId="3530899D">
            <wp:extent cx="5492702" cy="4120738"/>
            <wp:effectExtent l="0" t="0" r="0" b="0"/>
            <wp:docPr id="1073741832" name="officeArt object" descr="nest height vs tree species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nest height vs tree species.tif" descr="nest height vs tree species.ti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02" cy="41207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60BBE" w:rsidRPr="009F265E" w:rsidRDefault="00560BBE" w:rsidP="00560BBE">
      <w:pPr>
        <w:spacing w:after="0" w:line="360" w:lineRule="auto"/>
        <w:rPr>
          <w:rStyle w:val="None"/>
          <w:rFonts w:eastAsia="Helvetica" w:cs="Helvetica"/>
          <w:b/>
          <w:bCs/>
          <w:lang w:val="en-GB"/>
        </w:rPr>
      </w:pPr>
      <w:r w:rsidRPr="009F265E">
        <w:rPr>
          <w:rStyle w:val="Hyperlink0"/>
          <w:lang w:val="en-GB"/>
        </w:rPr>
        <w:t xml:space="preserve"> </w:t>
      </w:r>
    </w:p>
    <w:p w:rsidR="00560BBE" w:rsidRPr="009F265E" w:rsidRDefault="00560BBE" w:rsidP="00560BBE">
      <w:pPr>
        <w:spacing w:after="0" w:line="360" w:lineRule="auto"/>
        <w:rPr>
          <w:rStyle w:val="None"/>
          <w:lang w:val="en-GB"/>
        </w:rPr>
      </w:pPr>
    </w:p>
    <w:p w:rsidR="00560BBE" w:rsidRDefault="00560BBE" w:rsidP="00560BBE"/>
    <w:p w:rsidR="00F316DB" w:rsidRDefault="00F316DB"/>
    <w:sectPr w:rsidR="00F316DB">
      <w:head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C0" w:rsidRDefault="00815FC0">
      <w:pPr>
        <w:spacing w:after="0" w:line="240" w:lineRule="auto"/>
      </w:pPr>
      <w:r>
        <w:separator/>
      </w:r>
    </w:p>
  </w:endnote>
  <w:endnote w:type="continuationSeparator" w:id="0">
    <w:p w:rsidR="00815FC0" w:rsidRDefault="0081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C0" w:rsidRDefault="00815FC0">
      <w:pPr>
        <w:spacing w:after="0" w:line="240" w:lineRule="auto"/>
      </w:pPr>
      <w:r>
        <w:separator/>
      </w:r>
    </w:p>
  </w:footnote>
  <w:footnote w:type="continuationSeparator" w:id="0">
    <w:p w:rsidR="00815FC0" w:rsidRDefault="0081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5" w:rsidRDefault="00815FC0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5" w:rsidRDefault="00815F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16"/>
    <w:rsid w:val="0005314E"/>
    <w:rsid w:val="00463C45"/>
    <w:rsid w:val="00560BBE"/>
    <w:rsid w:val="00561250"/>
    <w:rsid w:val="005F6C16"/>
    <w:rsid w:val="00815FC0"/>
    <w:rsid w:val="008E4498"/>
    <w:rsid w:val="00F06C7D"/>
    <w:rsid w:val="00F316DB"/>
    <w:rsid w:val="00F975D7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F6C1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5F6C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F6C1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5F6C16"/>
  </w:style>
  <w:style w:type="character" w:customStyle="1" w:styleId="Hyperlink0">
    <w:name w:val="Hyperlink.0"/>
    <w:basedOn w:val="None"/>
    <w:rsid w:val="005F6C16"/>
    <w:rPr>
      <w:rFonts w:ascii="Calibri Light" w:eastAsia="Calibri Light" w:hAnsi="Calibri Light" w:cs="Calibri Light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BBE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F6C1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5F6C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F6C1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5F6C16"/>
  </w:style>
  <w:style w:type="character" w:customStyle="1" w:styleId="Hyperlink0">
    <w:name w:val="Hyperlink.0"/>
    <w:basedOn w:val="None"/>
    <w:rsid w:val="005F6C16"/>
    <w:rPr>
      <w:rFonts w:ascii="Calibri Light" w:eastAsia="Calibri Light" w:hAnsi="Calibri Light" w:cs="Calibri Light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BBE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tif"/><Relationship Id="rId4" Type="http://schemas.openxmlformats.org/officeDocument/2006/relationships/webSettings" Target="web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Šálek</dc:creator>
  <cp:keywords/>
  <dc:description/>
  <cp:lastModifiedBy>glosova</cp:lastModifiedBy>
  <cp:revision>6</cp:revision>
  <dcterms:created xsi:type="dcterms:W3CDTF">2020-05-10T20:44:00Z</dcterms:created>
  <dcterms:modified xsi:type="dcterms:W3CDTF">2020-11-10T08:20:00Z</dcterms:modified>
</cp:coreProperties>
</file>